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F" w:rsidRDefault="001769B4">
      <w:pPr>
        <w:rPr>
          <w:szCs w:val="28"/>
        </w:rPr>
      </w:pPr>
      <w:bookmarkStart w:id="0" w:name="_GoBack"/>
      <w:bookmarkEnd w:id="0"/>
      <w:r>
        <w:rPr>
          <w:rFonts w:ascii="楷体_GB2312" w:hAnsi="宋体" w:hint="eastAsia"/>
          <w:b/>
          <w:bCs/>
          <w:sz w:val="24"/>
          <w:szCs w:val="24"/>
        </w:rPr>
        <w:t>编号</w:t>
      </w:r>
      <w:r>
        <w:rPr>
          <w:rFonts w:ascii="楷体_GB2312" w:hAnsi="宋体" w:hint="eastAsia"/>
          <w:b/>
          <w:bCs/>
          <w:sz w:val="24"/>
          <w:szCs w:val="24"/>
        </w:rPr>
        <w:t xml:space="preserve"> </w:t>
      </w:r>
      <w:r>
        <w:rPr>
          <w:rFonts w:ascii="楷体_GB2312" w:hAnsi="宋体" w:hint="eastAsia"/>
          <w:b/>
          <w:sz w:val="24"/>
          <w:szCs w:val="24"/>
        </w:rPr>
        <w:t>：</w:t>
      </w:r>
      <w:r>
        <w:rPr>
          <w:rFonts w:ascii="楷体_GB2312" w:hAnsi="宋体" w:hint="eastAsia"/>
          <w:b/>
          <w:sz w:val="24"/>
          <w:szCs w:val="24"/>
        </w:rPr>
        <w:t>ECI-04-TC-04-B/0</w:t>
      </w: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ind w:firstLineChars="400" w:firstLine="2891"/>
        <w:rPr>
          <w:b/>
          <w:sz w:val="72"/>
          <w:szCs w:val="72"/>
        </w:rPr>
      </w:pPr>
      <w:bookmarkStart w:id="1" w:name="_Toc287514161"/>
    </w:p>
    <w:p w:rsidR="007C3CFF" w:rsidRDefault="00DC5BCB">
      <w:pPr>
        <w:jc w:val="center"/>
        <w:rPr>
          <w:b/>
          <w:sz w:val="72"/>
          <w:szCs w:val="72"/>
        </w:rPr>
      </w:pPr>
      <w:bookmarkStart w:id="2" w:name="_Toc298689430"/>
      <w:bookmarkStart w:id="3" w:name="_Toc298691915"/>
      <w:bookmarkStart w:id="4" w:name="_Toc298752062"/>
      <w:bookmarkStart w:id="5" w:name="_Toc300932413"/>
      <w:bookmarkStart w:id="6" w:name="_Toc290649405"/>
      <w:r>
        <w:rPr>
          <w:rFonts w:hint="eastAsia"/>
          <w:b/>
          <w:sz w:val="72"/>
          <w:szCs w:val="72"/>
        </w:rPr>
        <w:t>吉林单一窗口（公路</w:t>
      </w:r>
      <w:r w:rsidR="001769B4">
        <w:rPr>
          <w:rFonts w:hint="eastAsia"/>
          <w:b/>
          <w:sz w:val="72"/>
          <w:szCs w:val="72"/>
        </w:rPr>
        <w:t>）</w:t>
      </w:r>
    </w:p>
    <w:p w:rsidR="007C3CFF" w:rsidRDefault="001769B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申报端</w:t>
      </w:r>
    </w:p>
    <w:p w:rsidR="007C3CFF" w:rsidRDefault="001769B4">
      <w:pPr>
        <w:jc w:val="center"/>
        <w:rPr>
          <w:b/>
          <w:sz w:val="72"/>
          <w:szCs w:val="72"/>
        </w:rPr>
      </w:pPr>
      <w:r>
        <w:rPr>
          <w:rFonts w:hint="eastAsia"/>
          <w:sz w:val="72"/>
          <w:szCs w:val="72"/>
        </w:rPr>
        <w:t>业务操作手册</w:t>
      </w:r>
      <w:bookmarkEnd w:id="1"/>
      <w:bookmarkEnd w:id="2"/>
      <w:bookmarkEnd w:id="3"/>
      <w:bookmarkEnd w:id="4"/>
      <w:bookmarkEnd w:id="5"/>
      <w:bookmarkEnd w:id="6"/>
    </w:p>
    <w:p w:rsidR="007C3CFF" w:rsidRDefault="001769B4">
      <w:pPr>
        <w:rPr>
          <w:szCs w:val="28"/>
        </w:rPr>
      </w:pPr>
      <w:r>
        <w:rPr>
          <w:rFonts w:hint="eastAsia"/>
          <w:szCs w:val="28"/>
        </w:rPr>
        <w:t xml:space="preserve">                                        </w:t>
      </w: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rPr>
          <w:rFonts w:ascii="宋体" w:hAnsi="宋体"/>
          <w:szCs w:val="28"/>
        </w:rPr>
      </w:pPr>
    </w:p>
    <w:p w:rsidR="007C3CFF" w:rsidRDefault="007C3CFF">
      <w:pPr>
        <w:spacing w:line="200" w:lineRule="atLeast"/>
        <w:ind w:firstLineChars="750" w:firstLine="1575"/>
        <w:rPr>
          <w:rFonts w:ascii="黑体" w:eastAsia="黑体"/>
          <w:szCs w:val="28"/>
        </w:rPr>
      </w:pPr>
    </w:p>
    <w:p w:rsidR="007C3CFF" w:rsidRDefault="007C3CFF">
      <w:pPr>
        <w:spacing w:line="200" w:lineRule="atLeast"/>
        <w:ind w:firstLineChars="750" w:firstLine="1575"/>
        <w:rPr>
          <w:rFonts w:ascii="黑体" w:eastAsia="黑体"/>
          <w:szCs w:val="28"/>
        </w:rPr>
      </w:pPr>
    </w:p>
    <w:p w:rsidR="007C3CFF" w:rsidRDefault="007C3CFF">
      <w:pPr>
        <w:spacing w:line="200" w:lineRule="atLeast"/>
        <w:ind w:firstLineChars="750" w:firstLine="1575"/>
        <w:rPr>
          <w:rFonts w:ascii="黑体" w:eastAsia="黑体"/>
          <w:szCs w:val="28"/>
        </w:rPr>
      </w:pPr>
    </w:p>
    <w:p w:rsidR="007C3CFF" w:rsidRDefault="001769B4">
      <w:pPr>
        <w:spacing w:line="200" w:lineRule="atLeast"/>
        <w:ind w:firstLineChars="750" w:firstLine="1575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版本号：V1.0.0</w:t>
      </w:r>
    </w:p>
    <w:p w:rsidR="007C3CFF" w:rsidRDefault="001769B4">
      <w:pPr>
        <w:spacing w:line="200" w:lineRule="atLeast"/>
        <w:ind w:firstLineChars="750" w:firstLine="1575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发布日期：2017年12月13日</w:t>
      </w:r>
    </w:p>
    <w:p w:rsidR="007C3CFF" w:rsidRDefault="001769B4">
      <w:pPr>
        <w:spacing w:line="200" w:lineRule="atLeast"/>
        <w:ind w:firstLineChars="750" w:firstLine="1575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审核人：</w:t>
      </w: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rPr>
          <w:szCs w:val="28"/>
        </w:rPr>
      </w:pPr>
    </w:p>
    <w:p w:rsidR="007C3CFF" w:rsidRDefault="007C3CFF">
      <w:pPr>
        <w:jc w:val="center"/>
        <w:rPr>
          <w:rFonts w:ascii="黑体" w:eastAsia="黑体"/>
          <w:szCs w:val="28"/>
        </w:rPr>
      </w:pPr>
    </w:p>
    <w:p w:rsidR="007C3CFF" w:rsidRDefault="007C3CFF">
      <w:pPr>
        <w:jc w:val="left"/>
        <w:rPr>
          <w:szCs w:val="28"/>
        </w:rPr>
      </w:pPr>
    </w:p>
    <w:p w:rsidR="007C3CFF" w:rsidRDefault="001769B4">
      <w:pPr>
        <w:jc w:val="center"/>
        <w:rPr>
          <w:szCs w:val="28"/>
        </w:rPr>
      </w:pPr>
      <w:r>
        <w:rPr>
          <w:rFonts w:ascii="宋体" w:hAnsi="宋体"/>
          <w:szCs w:val="28"/>
        </w:rPr>
        <w:br w:type="page"/>
      </w:r>
      <w:r>
        <w:rPr>
          <w:rFonts w:hint="eastAsia"/>
          <w:szCs w:val="28"/>
        </w:rPr>
        <w:lastRenderedPageBreak/>
        <w:t>变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更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历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史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532"/>
        <w:gridCol w:w="1397"/>
        <w:gridCol w:w="944"/>
        <w:gridCol w:w="919"/>
        <w:gridCol w:w="351"/>
        <w:gridCol w:w="915"/>
        <w:gridCol w:w="1076"/>
      </w:tblGrid>
      <w:tr w:rsidR="007C3CFF">
        <w:trPr>
          <w:jc w:val="center"/>
        </w:trPr>
        <w:tc>
          <w:tcPr>
            <w:tcW w:w="813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编号</w:t>
            </w:r>
          </w:p>
        </w:tc>
        <w:tc>
          <w:tcPr>
            <w:tcW w:w="2532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变更描述</w:t>
            </w:r>
          </w:p>
        </w:tc>
        <w:tc>
          <w:tcPr>
            <w:tcW w:w="1397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变更人</w:t>
            </w:r>
          </w:p>
        </w:tc>
        <w:tc>
          <w:tcPr>
            <w:tcW w:w="944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审核人</w:t>
            </w:r>
          </w:p>
        </w:tc>
        <w:tc>
          <w:tcPr>
            <w:tcW w:w="1270" w:type="dxa"/>
            <w:gridSpan w:val="2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签署人</w:t>
            </w:r>
          </w:p>
        </w:tc>
        <w:tc>
          <w:tcPr>
            <w:tcW w:w="915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日期</w:t>
            </w:r>
          </w:p>
        </w:tc>
        <w:tc>
          <w:tcPr>
            <w:tcW w:w="1076" w:type="dxa"/>
            <w:shd w:val="clear" w:color="auto" w:fill="000080"/>
          </w:tcPr>
          <w:p w:rsidR="007C3CFF" w:rsidRDefault="001769B4">
            <w:pPr>
              <w:jc w:val="center"/>
              <w:rPr>
                <w:rFonts w:ascii="宋体" w:hAnsi="宋体"/>
                <w:b/>
                <w:color w:val="FFFFFF"/>
                <w:szCs w:val="28"/>
              </w:rPr>
            </w:pPr>
            <w:r>
              <w:rPr>
                <w:rFonts w:hint="eastAsia"/>
                <w:b/>
                <w:color w:val="FFFFFF"/>
                <w:szCs w:val="28"/>
              </w:rPr>
              <w:t>备注</w:t>
            </w:r>
          </w:p>
        </w:tc>
      </w:tr>
      <w:tr w:rsidR="007C3CFF">
        <w:trPr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7C3CFF">
        <w:trPr>
          <w:trHeight w:val="362"/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7C3CFF">
        <w:trPr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7C3CFF">
        <w:trPr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7C3CFF">
        <w:trPr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7C3CFF">
        <w:trPr>
          <w:jc w:val="center"/>
        </w:trPr>
        <w:tc>
          <w:tcPr>
            <w:tcW w:w="813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532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397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44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919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66" w:type="dxa"/>
            <w:gridSpan w:val="2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076" w:type="dxa"/>
          </w:tcPr>
          <w:p w:rsidR="007C3CFF" w:rsidRDefault="007C3CFF">
            <w:pPr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7C3CFF" w:rsidRDefault="007C3CFF">
      <w:pPr>
        <w:rPr>
          <w:szCs w:val="28"/>
        </w:rPr>
      </w:pPr>
    </w:p>
    <w:p w:rsidR="007C3CFF" w:rsidRDefault="001769B4">
      <w:pPr>
        <w:rPr>
          <w:szCs w:val="28"/>
        </w:rPr>
      </w:pPr>
      <w:r>
        <w:rPr>
          <w:rFonts w:hint="eastAsia"/>
          <w:szCs w:val="28"/>
        </w:rPr>
        <w:t>版权所有：</w:t>
      </w:r>
      <w:r>
        <w:rPr>
          <w:rFonts w:hint="eastAsia"/>
          <w:szCs w:val="28"/>
        </w:rPr>
        <w:t xml:space="preserve"> </w:t>
      </w:r>
      <w:r>
        <w:rPr>
          <w:rFonts w:cs="Arial"/>
          <w:szCs w:val="28"/>
        </w:rPr>
        <w:t>©</w:t>
      </w:r>
      <w:r>
        <w:rPr>
          <w:rFonts w:hint="eastAsia"/>
          <w:szCs w:val="28"/>
        </w:rPr>
        <w:t xml:space="preserve"> 200</w:t>
      </w:r>
      <w:r>
        <w:rPr>
          <w:szCs w:val="28"/>
        </w:rPr>
        <w:t>4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201</w:t>
      </w:r>
      <w:r>
        <w:rPr>
          <w:szCs w:val="28"/>
        </w:rPr>
        <w:t>5</w:t>
      </w:r>
      <w:r>
        <w:rPr>
          <w:rFonts w:hint="eastAsia"/>
          <w:szCs w:val="28"/>
        </w:rPr>
        <w:t xml:space="preserve">   </w:t>
      </w:r>
    </w:p>
    <w:p w:rsidR="007C3CFF" w:rsidRDefault="001769B4">
      <w:pPr>
        <w:rPr>
          <w:szCs w:val="28"/>
        </w:rPr>
      </w:pPr>
      <w:r>
        <w:rPr>
          <w:rFonts w:hint="eastAsia"/>
          <w:szCs w:val="28"/>
        </w:rPr>
        <w:t>编辑软件：</w:t>
      </w:r>
      <w:r>
        <w:rPr>
          <w:rFonts w:hint="eastAsia"/>
          <w:szCs w:val="28"/>
        </w:rPr>
        <w:t xml:space="preserve"> Microsoft Office 2010 </w:t>
      </w:r>
      <w:r>
        <w:rPr>
          <w:rFonts w:hint="eastAsia"/>
          <w:szCs w:val="28"/>
        </w:rPr>
        <w:t>中文版</w:t>
      </w:r>
      <w:r>
        <w:rPr>
          <w:rFonts w:hint="eastAsia"/>
          <w:szCs w:val="28"/>
        </w:rPr>
        <w:t xml:space="preserve"> </w:t>
      </w:r>
    </w:p>
    <w:p w:rsidR="007C3CFF" w:rsidRDefault="001769B4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:rsidR="007C3CFF" w:rsidRDefault="007C3CFF">
      <w:pPr>
        <w:rPr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24269154"/>
      </w:sdtPr>
      <w:sdtEndPr>
        <w:rPr>
          <w:b/>
          <w:bCs/>
        </w:rPr>
      </w:sdtEndPr>
      <w:sdtContent>
        <w:p w:rsidR="007C3CFF" w:rsidRDefault="001769B4">
          <w:pPr>
            <w:pStyle w:val="TOC1"/>
            <w:jc w:val="center"/>
          </w:pPr>
          <w:r>
            <w:rPr>
              <w:lang w:val="zh-CN"/>
            </w:rPr>
            <w:t>目录</w:t>
          </w:r>
        </w:p>
        <w:p w:rsidR="007C3CFF" w:rsidRDefault="001769B4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TOC \o "1-5" \h \u </w:instrText>
          </w:r>
          <w:r>
            <w:rPr>
              <w:b/>
              <w:bCs/>
              <w:lang w:val="zh-CN"/>
            </w:rPr>
            <w:fldChar w:fldCharType="separate"/>
          </w:r>
          <w:hyperlink w:anchor="_Toc27265" w:history="1">
            <w:r>
              <w:rPr>
                <w:rFonts w:ascii="宋体" w:eastAsia="宋体" w:hAnsi="宋体" w:cs="宋体" w:hint="eastAsia"/>
                <w:sz w:val="24"/>
                <w:szCs w:val="24"/>
              </w:rPr>
              <w:t>1.1. 编写目的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_Toc27265 </w:instrTex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0308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1.2. 项目参考资料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_Toc20308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99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2公共业务操作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_Toc199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7880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2.1企业登录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_Toc17880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6087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2.2 功能介绍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_Toc16087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5863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2.2.1 企业端功能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_Toc15863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31279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3物流管理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_Toc31279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8910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3.1报关业务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_Toc28910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6876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3.1.1 第一步 报关业务核放单申请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_Toc16876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8674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3.1.2 第二步 海关端审批报关业务核放单申请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_Toc18674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4545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3.2转关业务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_Toc14545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6786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3.2.1 第一步 转关业务核放单申请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_Toc16786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0399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3.2.2 第二步 海关审批转关业务核放单申请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_Toc10399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4153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3.3运单业务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_Toc4153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4863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3.3.1 第一步 运单业务核放单申请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_Toc24863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32129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3.3.2 第二步 海关审批运单业务核放单申请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_Toc32129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18573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3.4特殊业务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_Toc18573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4195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3.4.1 第一步 特殊业务核放单申请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_Toc24195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8739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3.4.2 第二步 海关审批特殊业务核放单申请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_Toc28739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1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1833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4 统计查询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_Toc21833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20"/>
            <w:tabs>
              <w:tab w:val="right" w:leader="dot" w:pos="8306"/>
            </w:tabs>
            <w:spacing w:line="400" w:lineRule="exact"/>
            <w:rPr>
              <w:rFonts w:ascii="宋体" w:eastAsia="宋体" w:hAnsi="宋体" w:cs="宋体"/>
              <w:sz w:val="24"/>
              <w:szCs w:val="24"/>
            </w:rPr>
          </w:pPr>
          <w:hyperlink w:anchor="_Toc22486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4.1 物流信息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_Toc22486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EE545B">
          <w:pPr>
            <w:pStyle w:val="30"/>
            <w:tabs>
              <w:tab w:val="right" w:leader="dot" w:pos="8306"/>
            </w:tabs>
            <w:spacing w:line="400" w:lineRule="exact"/>
          </w:pPr>
          <w:hyperlink w:anchor="_Toc31231" w:history="1"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4.1.1 核放单查询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PAGEREF _Toc31231 </w:instrTex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 w:rsidR="001769B4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7C3CFF" w:rsidRDefault="001769B4">
          <w:pPr>
            <w:rPr>
              <w:b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</w:p>
        <w:p w:rsidR="007C3CFF" w:rsidRDefault="00EE545B"/>
      </w:sdtContent>
    </w:sdt>
    <w:p w:rsidR="007C3CFF" w:rsidRDefault="001769B4">
      <w:pPr>
        <w:rPr>
          <w:szCs w:val="28"/>
        </w:rPr>
      </w:pPr>
      <w:r>
        <w:rPr>
          <w:rFonts w:eastAsia="楷体_GB2312"/>
          <w:sz w:val="28"/>
        </w:rPr>
        <w:br w:type="page"/>
      </w:r>
      <w:bookmarkStart w:id="7" w:name="_Toc7110"/>
      <w:bookmarkStart w:id="8" w:name="_Toc463794585"/>
      <w:r>
        <w:rPr>
          <w:rFonts w:hint="eastAsia"/>
          <w:sz w:val="32"/>
          <w:szCs w:val="32"/>
        </w:rPr>
        <w:lastRenderedPageBreak/>
        <w:t>引言</w:t>
      </w:r>
      <w:bookmarkEnd w:id="7"/>
      <w:bookmarkEnd w:id="8"/>
    </w:p>
    <w:p w:rsidR="007C3CFF" w:rsidRDefault="001769B4">
      <w:pPr>
        <w:pStyle w:val="2"/>
        <w:numPr>
          <w:ilvl w:val="1"/>
          <w:numId w:val="1"/>
        </w:numPr>
        <w:rPr>
          <w:bCs w:val="0"/>
          <w:szCs w:val="28"/>
        </w:rPr>
      </w:pPr>
      <w:bookmarkStart w:id="9" w:name="_Toc420939913"/>
      <w:bookmarkStart w:id="10" w:name="_Toc287514164"/>
      <w:bookmarkStart w:id="11" w:name="_Toc477"/>
      <w:bookmarkStart w:id="12" w:name="_Toc298689433"/>
      <w:bookmarkStart w:id="13" w:name="_Toc463794646"/>
      <w:bookmarkStart w:id="14" w:name="_Toc298752065"/>
      <w:bookmarkStart w:id="15" w:name="_Toc463794586"/>
      <w:bookmarkStart w:id="16" w:name="_Toc421273656"/>
      <w:bookmarkStart w:id="17" w:name="_Toc27265"/>
      <w:r>
        <w:rPr>
          <w:rFonts w:hint="eastAsia"/>
          <w:bCs w:val="0"/>
          <w:szCs w:val="28"/>
        </w:rPr>
        <w:t>编写目的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为了帮助企业更容易了解管理系统的流程，使客户更方便的管理和操作。</w:t>
      </w:r>
    </w:p>
    <w:p w:rsidR="007C3CFF" w:rsidRDefault="001769B4">
      <w:pPr>
        <w:pStyle w:val="2"/>
        <w:numPr>
          <w:ilvl w:val="1"/>
          <w:numId w:val="1"/>
        </w:numPr>
        <w:rPr>
          <w:bCs w:val="0"/>
          <w:szCs w:val="28"/>
        </w:rPr>
      </w:pPr>
      <w:bookmarkStart w:id="18" w:name="_Toc463794587"/>
      <w:bookmarkStart w:id="19" w:name="_Toc287514166"/>
      <w:bookmarkStart w:id="20" w:name="_Toc463794647"/>
      <w:bookmarkStart w:id="21" w:name="_Toc420939914"/>
      <w:bookmarkStart w:id="22" w:name="_Toc298689435"/>
      <w:bookmarkStart w:id="23" w:name="_Toc298752067"/>
      <w:bookmarkStart w:id="24" w:name="_Toc421273657"/>
      <w:bookmarkStart w:id="25" w:name="_Toc30231"/>
      <w:bookmarkStart w:id="26" w:name="_Toc20308"/>
      <w:r>
        <w:rPr>
          <w:rFonts w:hint="eastAsia"/>
          <w:bCs w:val="0"/>
          <w:szCs w:val="28"/>
        </w:rPr>
        <w:t>项目参考资料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《吉林单一窗口详细设计说明书》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《吉林单一窗口需求规格说明书》</w:t>
      </w:r>
    </w:p>
    <w:p w:rsidR="007C3CFF" w:rsidRDefault="001769B4">
      <w:pPr>
        <w:pStyle w:val="1"/>
        <w:rPr>
          <w:rFonts w:ascii="黑体" w:hAnsi="黑体" w:cs="黑体"/>
          <w:bCs w:val="0"/>
          <w:szCs w:val="32"/>
        </w:rPr>
      </w:pPr>
      <w:bookmarkStart w:id="27" w:name="_Toc421273658"/>
      <w:r>
        <w:rPr>
          <w:rFonts w:ascii="黑体" w:hAnsi="黑体" w:cs="黑体" w:hint="eastAsia"/>
          <w:bCs w:val="0"/>
          <w:szCs w:val="32"/>
        </w:rPr>
        <w:br w:type="page"/>
      </w:r>
      <w:bookmarkStart w:id="28" w:name="_Toc463794648"/>
      <w:bookmarkStart w:id="29" w:name="_Toc24409"/>
      <w:bookmarkStart w:id="30" w:name="_Toc463794588"/>
      <w:bookmarkStart w:id="31" w:name="_Toc199"/>
      <w:r>
        <w:rPr>
          <w:rFonts w:ascii="黑体" w:hAnsi="黑体" w:cs="黑体" w:hint="eastAsia"/>
          <w:bCs w:val="0"/>
          <w:szCs w:val="32"/>
        </w:rPr>
        <w:lastRenderedPageBreak/>
        <w:t>2.公共业务操作</w:t>
      </w:r>
      <w:bookmarkEnd w:id="27"/>
      <w:bookmarkEnd w:id="28"/>
      <w:bookmarkEnd w:id="29"/>
      <w:bookmarkEnd w:id="30"/>
      <w:bookmarkEnd w:id="31"/>
    </w:p>
    <w:p w:rsidR="007C3CFF" w:rsidRDefault="001769B4">
      <w:pPr>
        <w:pStyle w:val="2"/>
        <w:tabs>
          <w:tab w:val="clear" w:pos="576"/>
        </w:tabs>
        <w:rPr>
          <w:rFonts w:ascii="黑体" w:hAnsi="黑体" w:cs="黑体"/>
          <w:bCs w:val="0"/>
          <w:szCs w:val="28"/>
        </w:rPr>
      </w:pPr>
      <w:bookmarkStart w:id="32" w:name="_Toc463794649"/>
      <w:bookmarkStart w:id="33" w:name="_Toc421273659"/>
      <w:bookmarkStart w:id="34" w:name="_Toc25969"/>
      <w:bookmarkStart w:id="35" w:name="_Toc463794589"/>
      <w:bookmarkStart w:id="36" w:name="_Toc17880"/>
      <w:r>
        <w:rPr>
          <w:rFonts w:ascii="黑体" w:hAnsi="黑体" w:cs="黑体" w:hint="eastAsia"/>
          <w:bCs w:val="0"/>
          <w:szCs w:val="28"/>
        </w:rPr>
        <w:t>2.1企业登录</w:t>
      </w:r>
      <w:bookmarkEnd w:id="32"/>
      <w:bookmarkEnd w:id="33"/>
      <w:bookmarkEnd w:id="34"/>
      <w:bookmarkEnd w:id="35"/>
      <w:bookmarkEnd w:id="36"/>
    </w:p>
    <w:p w:rsidR="007C3CFF" w:rsidRDefault="001769B4">
      <w:pPr>
        <w:numPr>
          <w:ilvl w:val="0"/>
          <w:numId w:val="2"/>
        </w:numPr>
        <w:spacing w:line="4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栏位填写说明：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2288"/>
        <w:gridCol w:w="2290"/>
        <w:gridCol w:w="2893"/>
      </w:tblGrid>
      <w:tr w:rsidR="007C3CFF">
        <w:trPr>
          <w:trHeight w:val="464"/>
        </w:trPr>
        <w:tc>
          <w:tcPr>
            <w:tcW w:w="1369" w:type="dxa"/>
            <w:shd w:val="clear" w:color="auto" w:fill="D7D7D7"/>
            <w:vAlign w:val="center"/>
          </w:tcPr>
          <w:p w:rsidR="007C3CFF" w:rsidRDefault="001769B4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栏位名称</w:t>
            </w:r>
          </w:p>
        </w:tc>
        <w:tc>
          <w:tcPr>
            <w:tcW w:w="2288" w:type="dxa"/>
            <w:shd w:val="clear" w:color="auto" w:fill="D7D7D7"/>
            <w:vAlign w:val="center"/>
          </w:tcPr>
          <w:p w:rsidR="007C3CFF" w:rsidRDefault="001769B4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填写内容</w:t>
            </w:r>
          </w:p>
        </w:tc>
        <w:tc>
          <w:tcPr>
            <w:tcW w:w="2290" w:type="dxa"/>
            <w:shd w:val="clear" w:color="auto" w:fill="D7D7D7"/>
            <w:vAlign w:val="center"/>
          </w:tcPr>
          <w:p w:rsidR="007C3CFF" w:rsidRDefault="001769B4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必填项/选择项</w:t>
            </w:r>
          </w:p>
        </w:tc>
        <w:tc>
          <w:tcPr>
            <w:tcW w:w="2893" w:type="dxa"/>
            <w:shd w:val="clear" w:color="auto" w:fill="D7D7D7"/>
          </w:tcPr>
          <w:p w:rsidR="007C3CFF" w:rsidRDefault="001769B4">
            <w:pPr>
              <w:pStyle w:val="a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C3CFF">
        <w:trPr>
          <w:trHeight w:val="464"/>
        </w:trPr>
        <w:tc>
          <w:tcPr>
            <w:tcW w:w="1369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</w:t>
            </w:r>
          </w:p>
        </w:tc>
        <w:tc>
          <w:tcPr>
            <w:tcW w:w="2288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使用者的登录账号</w:t>
            </w:r>
          </w:p>
        </w:tc>
        <w:tc>
          <w:tcPr>
            <w:tcW w:w="2290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必填项</w:t>
            </w:r>
          </w:p>
        </w:tc>
        <w:tc>
          <w:tcPr>
            <w:tcW w:w="2893" w:type="dxa"/>
          </w:tcPr>
          <w:p w:rsidR="007C3CFF" w:rsidRDefault="007C3CFF">
            <w:pPr>
              <w:pStyle w:val="a6"/>
              <w:spacing w:line="400" w:lineRule="exact"/>
              <w:rPr>
                <w:sz w:val="24"/>
                <w:szCs w:val="24"/>
              </w:rPr>
            </w:pPr>
          </w:p>
        </w:tc>
      </w:tr>
      <w:tr w:rsidR="007C3CFF">
        <w:trPr>
          <w:trHeight w:val="475"/>
        </w:trPr>
        <w:tc>
          <w:tcPr>
            <w:tcW w:w="1369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密码</w:t>
            </w:r>
          </w:p>
        </w:tc>
        <w:tc>
          <w:tcPr>
            <w:tcW w:w="2288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使用者的登录密码</w:t>
            </w:r>
          </w:p>
        </w:tc>
        <w:tc>
          <w:tcPr>
            <w:tcW w:w="2290" w:type="dxa"/>
            <w:vAlign w:val="center"/>
          </w:tcPr>
          <w:p w:rsidR="007C3CFF" w:rsidRDefault="001769B4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必填项</w:t>
            </w:r>
          </w:p>
        </w:tc>
        <w:tc>
          <w:tcPr>
            <w:tcW w:w="2893" w:type="dxa"/>
          </w:tcPr>
          <w:p w:rsidR="007C3CFF" w:rsidRDefault="007C3CFF">
            <w:pPr>
              <w:pStyle w:val="a6"/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C3CFF" w:rsidRDefault="007C3CFF">
      <w:pPr>
        <w:rPr>
          <w:rFonts w:ascii="宋体" w:eastAsia="宋体" w:hAnsi="宋体"/>
          <w:b/>
        </w:rPr>
      </w:pPr>
    </w:p>
    <w:p w:rsidR="007C3CFF" w:rsidRDefault="001769B4">
      <w:pPr>
        <w:numPr>
          <w:ilvl w:val="0"/>
          <w:numId w:val="2"/>
        </w:num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操作步骤：</w:t>
      </w:r>
    </w:p>
    <w:p w:rsidR="007C3CFF" w:rsidRDefault="001769B4">
      <w:pPr>
        <w:numPr>
          <w:ilvl w:val="0"/>
          <w:numId w:val="3"/>
        </w:numPr>
        <w:spacing w:line="40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在浏览器地址栏中输入系统的地址，点击“转到”按钮（或者输入地址后，直接敲键盘的回车键），打开系统登录页面，如图：</w:t>
      </w:r>
    </w:p>
    <w:p w:rsidR="007C3CFF" w:rsidRDefault="001769B4">
      <w:pPr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5266055" cy="2507615"/>
            <wp:effectExtent l="0" t="0" r="698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numPr>
          <w:ilvl w:val="0"/>
          <w:numId w:val="3"/>
        </w:numPr>
        <w:spacing w:line="40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用户名、密码输入完毕后，点击“登录”进入系统</w:t>
      </w:r>
    </w:p>
    <w:p w:rsidR="007C3CFF" w:rsidRDefault="001769B4">
      <w:pPr>
        <w:pStyle w:val="2"/>
        <w:rPr>
          <w:rFonts w:ascii="黑体" w:hAnsi="黑体" w:cs="黑体"/>
          <w:bCs w:val="0"/>
          <w:szCs w:val="28"/>
        </w:rPr>
      </w:pPr>
      <w:bookmarkStart w:id="37" w:name="_Toc463794650"/>
      <w:bookmarkStart w:id="38" w:name="_Toc463794590"/>
      <w:bookmarkStart w:id="39" w:name="_Toc4739"/>
      <w:bookmarkStart w:id="40" w:name="_Toc16087"/>
      <w:r>
        <w:rPr>
          <w:rFonts w:ascii="黑体" w:hAnsi="黑体" w:cs="黑体" w:hint="eastAsia"/>
          <w:bCs w:val="0"/>
          <w:szCs w:val="28"/>
        </w:rPr>
        <w:t>2.2 功能介绍</w:t>
      </w:r>
      <w:bookmarkEnd w:id="37"/>
      <w:bookmarkEnd w:id="38"/>
      <w:bookmarkEnd w:id="39"/>
      <w:bookmarkEnd w:id="40"/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r>
        <w:rPr>
          <w:rFonts w:ascii="黑体" w:hAnsi="黑体" w:cs="黑体" w:hint="eastAsia"/>
          <w:bCs w:val="0"/>
          <w:szCs w:val="28"/>
        </w:rPr>
        <w:t xml:space="preserve"> </w:t>
      </w:r>
      <w:bookmarkStart w:id="41" w:name="_Toc463794591"/>
      <w:bookmarkStart w:id="42" w:name="_Toc32365"/>
      <w:bookmarkStart w:id="43" w:name="_Toc463794651"/>
      <w:bookmarkStart w:id="44" w:name="_Toc15863"/>
      <w:r>
        <w:rPr>
          <w:rFonts w:ascii="黑体" w:hAnsi="黑体" w:cs="黑体" w:hint="eastAsia"/>
          <w:bCs w:val="0"/>
          <w:szCs w:val="28"/>
        </w:rPr>
        <w:t>2.2.1 企业端功能</w:t>
      </w:r>
      <w:bookmarkEnd w:id="41"/>
      <w:bookmarkEnd w:id="42"/>
      <w:bookmarkEnd w:id="43"/>
      <w:bookmarkEnd w:id="44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企业端系统页面通用的功能操作说明如下：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320"/>
        <w:gridCol w:w="45"/>
        <w:gridCol w:w="4653"/>
      </w:tblGrid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按钮图片</w:t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注意点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功能介绍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-66675</wp:posOffset>
                  </wp:positionV>
                  <wp:extent cx="638175" cy="276225"/>
                  <wp:effectExtent l="0" t="0" r="9525" b="9525"/>
                  <wp:wrapTopAndBottom/>
                  <wp:docPr id="13" name="图片 13" descr="ch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h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各查询条件之间是并的关系，支持多条件查询</w:t>
            </w:r>
          </w:p>
          <w:p w:rsidR="007C3CFF" w:rsidRDefault="001769B4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不输入条件直接查询则查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询全部记录；</w:t>
            </w:r>
          </w:p>
          <w:p w:rsidR="007C3CFF" w:rsidRDefault="001769B4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输入条件则查询出符合条件的记录；</w:t>
            </w:r>
          </w:p>
          <w:p w:rsidR="007C3CFF" w:rsidRDefault="001769B4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没有符合条件的查不出任何记录；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查询：是指通过输入/选择某些条件进行快速查询的操作；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用户输入查询条件信息，点击查询按钮，记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录显示列表中显示符合条件的记录； 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-76200</wp:posOffset>
                  </wp:positionV>
                  <wp:extent cx="609600" cy="285750"/>
                  <wp:effectExtent l="0" t="0" r="0" b="0"/>
                  <wp:wrapTopAndBottom/>
                  <wp:docPr id="12" name="图片 12" descr="chongz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hongz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5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字段是文本框输入格式则清空信息；</w:t>
            </w:r>
          </w:p>
          <w:p w:rsidR="007C3CFF" w:rsidRDefault="001769B4">
            <w:pPr>
              <w:numPr>
                <w:ilvl w:val="0"/>
                <w:numId w:val="5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下拉选项格式格式则显示为“全部”；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重置：是指清空查询区域内用户输入的所有字段的数据；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用户直接点击重置按钮，即可重置查询条件信息；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-47625</wp:posOffset>
                  </wp:positionV>
                  <wp:extent cx="590550" cy="257175"/>
                  <wp:effectExtent l="0" t="0" r="0" b="9525"/>
                  <wp:wrapTopAndBottom/>
                  <wp:docPr id="11" name="图片 11" descr="xi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xi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6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新增并保存，才能新增成功记录；</w:t>
            </w:r>
          </w:p>
          <w:p w:rsidR="007C3CFF" w:rsidRDefault="001769B4">
            <w:pPr>
              <w:numPr>
                <w:ilvl w:val="0"/>
                <w:numId w:val="6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新增不做保存操作则不保存信息；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新增：是指新增归并关系信息 ，和保存按钮一起使用；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用户点击新增按钮，进入归并关系新增维护页面维护信息；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-102870</wp:posOffset>
                  </wp:positionV>
                  <wp:extent cx="662940" cy="312420"/>
                  <wp:effectExtent l="0" t="0" r="3810" b="0"/>
                  <wp:wrapTopAndBottom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0" w:type="dxa"/>
          </w:tcPr>
          <w:p w:rsidR="007C3CFF" w:rsidRDefault="001769B4">
            <w:pPr>
              <w:numPr>
                <w:ilvl w:val="0"/>
                <w:numId w:val="7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修改并保存，才能修改成功记录；</w:t>
            </w:r>
          </w:p>
          <w:p w:rsidR="007C3CFF" w:rsidRDefault="001769B4">
            <w:pPr>
              <w:numPr>
                <w:ilvl w:val="0"/>
                <w:numId w:val="7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修改后不做保存操作则不保存修改后的信息；</w:t>
            </w:r>
          </w:p>
        </w:tc>
        <w:tc>
          <w:tcPr>
            <w:tcW w:w="4698" w:type="dxa"/>
            <w:gridSpan w:val="2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修改：是指修改某条记录的操作，和保存按钮一起使用；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用户选择需要修改的记录在记录列表中双击进入修改页面，修改信息后，点击保存按钮，即可保存修改后的信息；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-57150</wp:posOffset>
                  </wp:positionV>
                  <wp:extent cx="590550" cy="266700"/>
                  <wp:effectExtent l="0" t="0" r="0" b="0"/>
                  <wp:wrapTopAndBottom/>
                  <wp:docPr id="9" name="图片 9" descr="ba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a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8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新增保存则保存新增的信息；</w:t>
            </w:r>
          </w:p>
          <w:p w:rsidR="007C3CFF" w:rsidRDefault="001769B4">
            <w:pPr>
              <w:numPr>
                <w:ilvl w:val="0"/>
                <w:numId w:val="8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修改保存则保存修改的信息；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保存：是指保存新增或者修改的归并关系信息；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用户在新增/修改页面维护信息后，点击保存按钮，即可保存维护的信息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-38100</wp:posOffset>
                  </wp:positionV>
                  <wp:extent cx="609600" cy="247650"/>
                  <wp:effectExtent l="0" t="0" r="0" b="0"/>
                  <wp:wrapTopAndBottom/>
                  <wp:docPr id="8" name="图片 8" descr="shanc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shanc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支持一条或多条记录删除操作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是否删除提示中的确定按钮，表示同意删除；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是否删除提示中的取消，表示不同意删除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删除后的记录不在列表中显示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删除：是指删除某条单证信息的操作；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用户选中需要删除的记录，点击删除按钮，系统弹出是否要删除的提示，点击提示中的确定按钮，系统弹出删除成功的提示，表示成功删除所选单证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-82550</wp:posOffset>
                  </wp:positionV>
                  <wp:extent cx="600075" cy="285750"/>
                  <wp:effectExtent l="0" t="0" r="9525" b="0"/>
                  <wp:wrapTopAndBottom/>
                  <wp:docPr id="7" name="图片 7" descr="shenb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shenb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10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没有表体的单证不可以做申报操作；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支持一条或多条记录申报操作；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是否申报提示中的确定按钮，表示同意申报；</w:t>
            </w:r>
          </w:p>
          <w:p w:rsidR="007C3CFF" w:rsidRDefault="001769B4">
            <w:pPr>
              <w:numPr>
                <w:ilvl w:val="0"/>
                <w:numId w:val="9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是否申报提示中的取消，表示不同意申报；</w:t>
            </w:r>
          </w:p>
          <w:p w:rsidR="007C3CFF" w:rsidRDefault="007C3CFF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申请：是指申报需要向海关报备的单证；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用户选中需要申报的记录，点击申报按钮，系统弹出是否要申报的提示，点击提示中的确定按钮，系统弹出申报成功的提示，表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示成功申请所选单证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-95250</wp:posOffset>
                  </wp:positionV>
                  <wp:extent cx="609600" cy="304800"/>
                  <wp:effectExtent l="0" t="0" r="0" b="0"/>
                  <wp:wrapTopAndBottom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4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查看记录的详细信息</w:t>
            </w:r>
          </w:p>
          <w:p w:rsidR="007C3CFF" w:rsidRDefault="007C3CFF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查看核放单/申请详细信息页面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-19050</wp:posOffset>
                  </wp:positionV>
                  <wp:extent cx="666750" cy="228600"/>
                  <wp:effectExtent l="0" t="0" r="0" b="0"/>
                  <wp:wrapTopAndBottom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1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提示页面中的确定，表示同意某操作；</w:t>
            </w:r>
          </w:p>
          <w:p w:rsidR="007C3CFF" w:rsidRDefault="001769B4">
            <w:pPr>
              <w:numPr>
                <w:ilvl w:val="0"/>
                <w:numId w:val="1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放大镜或其他页面中的确定按钮，表示选中某记录</w:t>
            </w:r>
          </w:p>
          <w:p w:rsidR="007C3CFF" w:rsidRDefault="001769B4">
            <w:pPr>
              <w:numPr>
                <w:ilvl w:val="0"/>
                <w:numId w:val="1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提示某操作成功中的确定按钮，表示完成某步操作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确定：是指同意某步操作，或选中某条记录的操作；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用户点击某条提示页面或者某个选择页面中的确定按钮</w:t>
            </w:r>
          </w:p>
        </w:tc>
      </w:tr>
      <w:tr w:rsidR="007C3CFF">
        <w:tc>
          <w:tcPr>
            <w:tcW w:w="1836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-9525</wp:posOffset>
                  </wp:positionV>
                  <wp:extent cx="676275" cy="219075"/>
                  <wp:effectExtent l="0" t="0" r="9525" b="9525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  <w:gridSpan w:val="2"/>
          </w:tcPr>
          <w:p w:rsidR="007C3CFF" w:rsidRDefault="001769B4">
            <w:pPr>
              <w:numPr>
                <w:ilvl w:val="0"/>
                <w:numId w:val="1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提示页面中的确定表示同意某操作；</w:t>
            </w:r>
          </w:p>
          <w:p w:rsidR="007C3CFF" w:rsidRDefault="001769B4">
            <w:pPr>
              <w:numPr>
                <w:ilvl w:val="0"/>
                <w:numId w:val="1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放大镜或其他页面中的确定按钮，表示选中某记录</w:t>
            </w:r>
          </w:p>
          <w:p w:rsidR="007C3CFF" w:rsidRDefault="001769B4">
            <w:pPr>
              <w:numPr>
                <w:ilvl w:val="0"/>
                <w:numId w:val="12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提示某操作成功中的确定按钮，表示完成某步操作</w:t>
            </w:r>
          </w:p>
        </w:tc>
        <w:tc>
          <w:tcPr>
            <w:tcW w:w="4653" w:type="dxa"/>
          </w:tcPr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取消：是指不同意某步操作；</w:t>
            </w:r>
          </w:p>
          <w:p w:rsidR="007C3CFF" w:rsidRDefault="001769B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用户点击某条提示页面或者某个选择页面中的取消按钮</w:t>
            </w:r>
          </w:p>
        </w:tc>
      </w:tr>
    </w:tbl>
    <w:p w:rsidR="007C3CFF" w:rsidRDefault="001769B4">
      <w:pPr>
        <w:pStyle w:val="1"/>
      </w:pPr>
      <w:bookmarkStart w:id="45" w:name="_Toc463794668"/>
      <w:bookmarkStart w:id="46" w:name="_Toc463794608"/>
      <w:bookmarkStart w:id="47" w:name="_Toc31279"/>
      <w:r>
        <w:rPr>
          <w:rFonts w:hint="eastAsia"/>
        </w:rPr>
        <w:t>3</w:t>
      </w:r>
      <w:r>
        <w:rPr>
          <w:rFonts w:hint="eastAsia"/>
        </w:rPr>
        <w:t>物流管理</w:t>
      </w:r>
      <w:bookmarkEnd w:id="45"/>
      <w:bookmarkEnd w:id="46"/>
      <w:bookmarkEnd w:id="47"/>
    </w:p>
    <w:p w:rsidR="007C3CFF" w:rsidRDefault="001769B4">
      <w:pPr>
        <w:pStyle w:val="2"/>
      </w:pPr>
      <w:bookmarkStart w:id="48" w:name="_Toc463794669"/>
      <w:bookmarkStart w:id="49" w:name="_Toc463794609"/>
      <w:bookmarkStart w:id="50" w:name="_Toc28910"/>
      <w:r>
        <w:rPr>
          <w:rFonts w:hint="eastAsia"/>
        </w:rPr>
        <w:t>3.1</w:t>
      </w:r>
      <w:r>
        <w:rPr>
          <w:rFonts w:hint="eastAsia"/>
        </w:rPr>
        <w:t>报关业务</w:t>
      </w:r>
      <w:bookmarkEnd w:id="48"/>
      <w:bookmarkEnd w:id="49"/>
      <w:bookmarkEnd w:id="50"/>
    </w:p>
    <w:p w:rsidR="007C3CFF" w:rsidRDefault="001769B4">
      <w:pPr>
        <w:pStyle w:val="3"/>
      </w:pPr>
      <w:bookmarkStart w:id="51" w:name="_Toc463794670"/>
      <w:bookmarkStart w:id="52" w:name="_Toc463794610"/>
      <w:bookmarkStart w:id="53" w:name="_Toc16876"/>
      <w:r>
        <w:rPr>
          <w:rFonts w:hint="eastAsia"/>
        </w:rPr>
        <w:t xml:space="preserve">3.1.1 </w:t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报关业务核放单申请</w:t>
      </w:r>
      <w:bookmarkEnd w:id="51"/>
      <w:bookmarkEnd w:id="52"/>
      <w:bookmarkEnd w:id="53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点击“物流管理”-“报关业务”，进入【报关业务】页面，新增报关业务核放单并保存，提交申报，等待海关端审批；列表</w:t>
      </w:r>
      <w:r>
        <w:rPr>
          <w:rFonts w:ascii="宋体" w:eastAsia="宋体" w:hAnsi="宋体"/>
          <w:sz w:val="24"/>
          <w:szCs w:val="24"/>
        </w:rPr>
        <w:t>页面显示如下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7C3CFF" w:rsidRDefault="001769B4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1770" cy="1031875"/>
            <wp:effectExtent l="0" t="0" r="1270" b="4445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查询：输入查询条件，进行核放单查询操作；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重置：清空查询条件；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新增：新增核放单，填写必填项信息，保存；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编辑：修改核放单信息；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申报/批量申报：提交核放单申请单，等待海关审批；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查阅：查看核放单详细信息；</w:t>
      </w:r>
    </w:p>
    <w:p w:rsidR="007C3CFF" w:rsidRDefault="001769B4">
      <w:pPr>
        <w:numPr>
          <w:ilvl w:val="0"/>
          <w:numId w:val="13"/>
        </w:num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批量删除：删除一条或多条核放单信息。</w:t>
      </w:r>
    </w:p>
    <w:p w:rsidR="007C3CFF" w:rsidRDefault="001769B4">
      <w:pPr>
        <w:pStyle w:val="3"/>
      </w:pPr>
      <w:bookmarkStart w:id="54" w:name="_Toc463794671"/>
      <w:bookmarkStart w:id="55" w:name="_Toc463794611"/>
      <w:bookmarkStart w:id="56" w:name="_Toc18674"/>
      <w:r>
        <w:rPr>
          <w:rFonts w:hint="eastAsia"/>
        </w:rPr>
        <w:t xml:space="preserve">3.1.2 </w:t>
      </w: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>
        <w:rPr>
          <w:rFonts w:hint="eastAsia"/>
        </w:rPr>
        <w:t>海关端审批报关业务核放单申请</w:t>
      </w:r>
      <w:bookmarkEnd w:id="54"/>
      <w:bookmarkEnd w:id="55"/>
      <w:bookmarkEnd w:id="56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海关接收到企业的报关业务核放单申请，根据申请信息做通过、退单、转查验、作废审批操作。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1、审批退单的核放单，需要企业修改申请信息后再次提交申请；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2、审批作废的核放单，不可再次任何操作。</w:t>
      </w:r>
    </w:p>
    <w:p w:rsidR="007C3CFF" w:rsidRDefault="007C3CFF">
      <w:pPr>
        <w:rPr>
          <w:rFonts w:ascii="宋体" w:eastAsia="宋体" w:hAnsi="宋体"/>
          <w:sz w:val="24"/>
          <w:szCs w:val="24"/>
        </w:rPr>
      </w:pPr>
    </w:p>
    <w:p w:rsidR="007C3CFF" w:rsidRDefault="001769B4">
      <w:pPr>
        <w:pStyle w:val="2"/>
      </w:pPr>
      <w:bookmarkStart w:id="57" w:name="_Toc463794672"/>
      <w:bookmarkStart w:id="58" w:name="_Toc463794612"/>
      <w:bookmarkStart w:id="59" w:name="_Toc14545"/>
      <w:r>
        <w:rPr>
          <w:rFonts w:hint="eastAsia"/>
        </w:rPr>
        <w:t>3.2</w:t>
      </w:r>
      <w:r>
        <w:rPr>
          <w:rFonts w:hint="eastAsia"/>
        </w:rPr>
        <w:t>转关业务</w:t>
      </w:r>
      <w:bookmarkEnd w:id="57"/>
      <w:bookmarkEnd w:id="58"/>
      <w:bookmarkEnd w:id="59"/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60" w:name="_Toc463794613"/>
      <w:bookmarkStart w:id="61" w:name="_Toc463794673"/>
      <w:bookmarkStart w:id="62" w:name="_Toc17808"/>
      <w:bookmarkStart w:id="63" w:name="_Toc16786"/>
      <w:r>
        <w:rPr>
          <w:rFonts w:ascii="黑体" w:hAnsi="黑体" w:cs="黑体" w:hint="eastAsia"/>
          <w:bCs w:val="0"/>
          <w:szCs w:val="28"/>
        </w:rPr>
        <w:t>3.2.1 第一步 转关业务核放单申请</w:t>
      </w:r>
      <w:bookmarkEnd w:id="60"/>
      <w:bookmarkEnd w:id="61"/>
      <w:bookmarkEnd w:id="62"/>
      <w:bookmarkEnd w:id="63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点击“物流管理”-“转关业务”，进入【转关业务】页面，新增转关业务核放单并保存，提交申报，等待海关端审批；列表</w:t>
      </w:r>
      <w:r>
        <w:rPr>
          <w:rFonts w:ascii="宋体" w:eastAsia="宋体" w:hAnsi="宋体"/>
          <w:sz w:val="24"/>
          <w:szCs w:val="24"/>
        </w:rPr>
        <w:t>页面显示如下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7C3CFF" w:rsidRDefault="001769B4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2245" cy="977900"/>
            <wp:effectExtent l="0" t="0" r="10795" b="12700"/>
            <wp:docPr id="4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（1）查询：输入查询条件，进行核放单查询操作；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（3）新增：新增核放单，填写必填项信息，保存；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（4）编辑：修改核放单信息；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（5）申报/批量申报：提交核放单申请单，等待海关审批；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（6）查阅：查看核放单详细信息；</w:t>
      </w:r>
    </w:p>
    <w:p w:rsidR="007C3CFF" w:rsidRDefault="001769B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（7）批量删除：删除一条或多条核放单信息。</w:t>
      </w:r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64" w:name="_Toc463794614"/>
      <w:bookmarkStart w:id="65" w:name="_Toc10804"/>
      <w:bookmarkStart w:id="66" w:name="_Toc463794674"/>
      <w:bookmarkStart w:id="67" w:name="_Toc10399"/>
      <w:r>
        <w:rPr>
          <w:rFonts w:ascii="黑体" w:hAnsi="黑体" w:cs="黑体" w:hint="eastAsia"/>
          <w:bCs w:val="0"/>
          <w:szCs w:val="28"/>
        </w:rPr>
        <w:lastRenderedPageBreak/>
        <w:t>3.2.2 第二步 海关审批转关业务核放单申请</w:t>
      </w:r>
      <w:bookmarkEnd w:id="64"/>
      <w:bookmarkEnd w:id="65"/>
      <w:bookmarkEnd w:id="66"/>
      <w:bookmarkEnd w:id="67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海关接收到企业的转关业务核放单申请，根据申请信息做通过、退单、转查验、作废审批操作。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1、审批退单的核放单，需要企业修改申请信息后再次提交申请；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2、审批作废的核放单，不可再次任何操作。</w:t>
      </w:r>
    </w:p>
    <w:p w:rsidR="007C3CFF" w:rsidRDefault="007C3CFF"/>
    <w:p w:rsidR="007C3CFF" w:rsidRDefault="001769B4">
      <w:pPr>
        <w:pStyle w:val="2"/>
      </w:pPr>
      <w:bookmarkStart w:id="68" w:name="_Toc463794675"/>
      <w:bookmarkStart w:id="69" w:name="_Toc463794615"/>
      <w:bookmarkStart w:id="70" w:name="_Toc4153"/>
      <w:r>
        <w:rPr>
          <w:rFonts w:hint="eastAsia"/>
        </w:rPr>
        <w:t>3.3</w:t>
      </w:r>
      <w:r>
        <w:rPr>
          <w:rFonts w:hint="eastAsia"/>
        </w:rPr>
        <w:t>运单业务</w:t>
      </w:r>
      <w:bookmarkEnd w:id="68"/>
      <w:bookmarkEnd w:id="69"/>
      <w:bookmarkEnd w:id="70"/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71" w:name="_Toc32387"/>
      <w:bookmarkStart w:id="72" w:name="_Toc463794676"/>
      <w:bookmarkStart w:id="73" w:name="_Toc463794616"/>
      <w:bookmarkStart w:id="74" w:name="_Toc24863"/>
      <w:bookmarkStart w:id="75" w:name="OLE_LINK2"/>
      <w:r>
        <w:rPr>
          <w:rFonts w:ascii="黑体" w:hAnsi="黑体" w:cs="黑体" w:hint="eastAsia"/>
          <w:bCs w:val="0"/>
          <w:szCs w:val="28"/>
        </w:rPr>
        <w:t>3.3.1 第一步 运单业务核放单申请</w:t>
      </w:r>
      <w:bookmarkEnd w:id="71"/>
      <w:bookmarkEnd w:id="72"/>
      <w:bookmarkEnd w:id="73"/>
      <w:bookmarkEnd w:id="74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点击“物流管理”-“运单业务”，进入【运单业务】页面，新增运单业务核放单并保存，提交申报，等待海关端审批；列表</w:t>
      </w:r>
      <w:r>
        <w:rPr>
          <w:rFonts w:ascii="宋体" w:eastAsia="宋体" w:hAnsi="宋体"/>
          <w:sz w:val="24"/>
          <w:szCs w:val="24"/>
        </w:rPr>
        <w:t>页面显示如下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7C3CFF" w:rsidRDefault="001769B4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2245" cy="993775"/>
            <wp:effectExtent l="0" t="0" r="10795" b="12065"/>
            <wp:docPr id="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（1）查询：输入查询条件，进行核放单查询操作；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（3）新增：新增核放单，填写必填项信息，保存；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（4）编辑：修改核放单信息；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（5）申报/批量申报：提交核放单申请单，等待海关审批；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（6）查阅：查看核放单详细信息；</w:t>
      </w:r>
    </w:p>
    <w:p w:rsidR="007C3CFF" w:rsidRDefault="001769B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（7）批量删除：删除一条或多条核放单信息。</w:t>
      </w:r>
    </w:p>
    <w:p w:rsidR="007C3CFF" w:rsidRDefault="007C3CFF">
      <w:pPr>
        <w:rPr>
          <w:rFonts w:ascii="宋体" w:eastAsia="宋体" w:hAnsi="宋体" w:cs="宋体"/>
          <w:sz w:val="24"/>
          <w:szCs w:val="24"/>
        </w:rPr>
      </w:pPr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76" w:name="_Toc463794617"/>
      <w:bookmarkStart w:id="77" w:name="_Toc463794677"/>
      <w:bookmarkStart w:id="78" w:name="_Toc26044"/>
      <w:bookmarkStart w:id="79" w:name="_Toc32129"/>
      <w:r>
        <w:rPr>
          <w:rFonts w:ascii="黑体" w:hAnsi="黑体" w:cs="黑体" w:hint="eastAsia"/>
          <w:bCs w:val="0"/>
          <w:szCs w:val="28"/>
        </w:rPr>
        <w:t>3.3.2 第二步 海关审批运单业务核放单申请</w:t>
      </w:r>
      <w:bookmarkEnd w:id="76"/>
      <w:bookmarkEnd w:id="77"/>
      <w:bookmarkEnd w:id="78"/>
      <w:bookmarkEnd w:id="79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海关接收到企业的运单业务核放单申请，根据申请信息做通过、退单、转查验、作废审批操作。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1、审批退单的核放单，需要企业修改申请信息后再次提交申请；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2、审批作废的核放单，不可再次任何操作。</w:t>
      </w:r>
    </w:p>
    <w:bookmarkEnd w:id="75"/>
    <w:p w:rsidR="007C3CFF" w:rsidRDefault="007C3CFF"/>
    <w:p w:rsidR="007C3CFF" w:rsidRDefault="001769B4">
      <w:pPr>
        <w:pStyle w:val="2"/>
      </w:pPr>
      <w:bookmarkStart w:id="80" w:name="_Toc463794618"/>
      <w:bookmarkStart w:id="81" w:name="_Toc463794678"/>
      <w:bookmarkStart w:id="82" w:name="_Toc18573"/>
      <w:r>
        <w:rPr>
          <w:rFonts w:hint="eastAsia"/>
        </w:rPr>
        <w:lastRenderedPageBreak/>
        <w:t>3.4</w:t>
      </w:r>
      <w:r>
        <w:rPr>
          <w:rFonts w:hint="eastAsia"/>
        </w:rPr>
        <w:t>特殊业务</w:t>
      </w:r>
      <w:bookmarkEnd w:id="80"/>
      <w:bookmarkEnd w:id="81"/>
      <w:bookmarkEnd w:id="82"/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83" w:name="_Toc463794679"/>
      <w:bookmarkStart w:id="84" w:name="_Toc12356"/>
      <w:bookmarkStart w:id="85" w:name="_Toc463794619"/>
      <w:bookmarkStart w:id="86" w:name="_Toc24195"/>
      <w:r>
        <w:rPr>
          <w:rFonts w:ascii="黑体" w:hAnsi="黑体" w:cs="黑体" w:hint="eastAsia"/>
          <w:bCs w:val="0"/>
          <w:szCs w:val="28"/>
        </w:rPr>
        <w:t>3.4.1 第一步 特殊业务核放单申请</w:t>
      </w:r>
      <w:bookmarkEnd w:id="83"/>
      <w:bookmarkEnd w:id="84"/>
      <w:bookmarkEnd w:id="85"/>
      <w:bookmarkEnd w:id="86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点击“物流管理”-“特殊业务”，进入【特殊业务】页面，新增特殊业务核放单并保存，提交申报，等待海关端审批；列表</w:t>
      </w:r>
      <w:r>
        <w:rPr>
          <w:rFonts w:ascii="宋体" w:eastAsia="宋体" w:hAnsi="宋体"/>
          <w:sz w:val="24"/>
          <w:szCs w:val="24"/>
        </w:rPr>
        <w:t>页面显示如下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7C3CFF" w:rsidRDefault="001769B4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8595" cy="1035050"/>
            <wp:effectExtent l="0" t="0" r="4445" b="1270"/>
            <wp:docPr id="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（1）查询：输入查询条件，进行核放单查询操作；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（3）新增：新增核放单，填写必填项信息，保存；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（4）编辑：修改核放单信息；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（5）申报/批量申报：提交核放单申请单，等待海关审批；</w:t>
      </w:r>
    </w:p>
    <w:p w:rsidR="007C3CFF" w:rsidRDefault="001769B4">
      <w:pPr>
        <w:spacing w:line="400" w:lineRule="exact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（6）查阅：查看核放单详细信息；</w:t>
      </w:r>
    </w:p>
    <w:p w:rsidR="007C3CFF" w:rsidRDefault="001769B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（7）批量删除：删除一条或多条核放单信息。</w:t>
      </w:r>
    </w:p>
    <w:p w:rsidR="007C3CFF" w:rsidRDefault="007C3CFF">
      <w:pPr>
        <w:rPr>
          <w:rFonts w:ascii="宋体" w:eastAsia="宋体" w:hAnsi="宋体" w:cs="宋体"/>
          <w:sz w:val="24"/>
          <w:szCs w:val="24"/>
        </w:rPr>
      </w:pPr>
    </w:p>
    <w:p w:rsidR="007C3CFF" w:rsidRDefault="001769B4">
      <w:pPr>
        <w:pStyle w:val="3"/>
        <w:rPr>
          <w:rFonts w:ascii="黑体" w:hAnsi="黑体" w:cs="黑体"/>
          <w:bCs w:val="0"/>
          <w:szCs w:val="28"/>
        </w:rPr>
      </w:pPr>
      <w:bookmarkStart w:id="87" w:name="_Toc463794620"/>
      <w:bookmarkStart w:id="88" w:name="_Toc463794680"/>
      <w:bookmarkStart w:id="89" w:name="_Toc20258"/>
      <w:bookmarkStart w:id="90" w:name="_Toc28739"/>
      <w:r>
        <w:rPr>
          <w:rFonts w:ascii="黑体" w:hAnsi="黑体" w:cs="黑体" w:hint="eastAsia"/>
          <w:bCs w:val="0"/>
          <w:szCs w:val="28"/>
        </w:rPr>
        <w:t>3.4.2 第二步 海关审批特殊业务核放单申请</w:t>
      </w:r>
      <w:bookmarkEnd w:id="87"/>
      <w:bookmarkEnd w:id="88"/>
      <w:bookmarkEnd w:id="89"/>
      <w:bookmarkEnd w:id="90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海关接收到企业的特殊业务核放单申请，根据申请信息做通过、退单、转查验、作废审批操作。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1、审批退单的核放单，需要企业修改申请信息后再次提交申请；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2、审批作废的核放单，不可再次任何操作。</w:t>
      </w:r>
    </w:p>
    <w:p w:rsidR="007C3CFF" w:rsidRDefault="001769B4">
      <w:pPr>
        <w:pStyle w:val="1"/>
      </w:pPr>
      <w:bookmarkStart w:id="91" w:name="_Toc463794684"/>
      <w:bookmarkStart w:id="92" w:name="_Toc463794624"/>
      <w:bookmarkStart w:id="93" w:name="_Toc21833"/>
      <w:r>
        <w:rPr>
          <w:rFonts w:hint="eastAsia"/>
        </w:rPr>
        <w:t xml:space="preserve">4 </w:t>
      </w:r>
      <w:r>
        <w:rPr>
          <w:rFonts w:hint="eastAsia"/>
        </w:rPr>
        <w:t>统计查询</w:t>
      </w:r>
      <w:bookmarkEnd w:id="91"/>
      <w:bookmarkEnd w:id="92"/>
      <w:bookmarkEnd w:id="93"/>
    </w:p>
    <w:p w:rsidR="007C3CFF" w:rsidRDefault="001769B4">
      <w:pPr>
        <w:pStyle w:val="2"/>
      </w:pPr>
      <w:bookmarkStart w:id="94" w:name="_Toc463794627"/>
      <w:bookmarkStart w:id="95" w:name="_Toc463794687"/>
      <w:bookmarkStart w:id="96" w:name="_Toc22486"/>
      <w:r>
        <w:rPr>
          <w:rFonts w:hint="eastAsia"/>
        </w:rPr>
        <w:t xml:space="preserve">4.1 </w:t>
      </w:r>
      <w:r>
        <w:rPr>
          <w:rFonts w:hint="eastAsia"/>
        </w:rPr>
        <w:t>物流</w:t>
      </w:r>
      <w:bookmarkEnd w:id="94"/>
      <w:bookmarkEnd w:id="95"/>
      <w:r>
        <w:rPr>
          <w:rFonts w:hint="eastAsia"/>
        </w:rPr>
        <w:t>信息</w:t>
      </w:r>
      <w:bookmarkEnd w:id="96"/>
    </w:p>
    <w:p w:rsidR="007C3CFF" w:rsidRDefault="001769B4">
      <w:pPr>
        <w:pStyle w:val="3"/>
      </w:pPr>
      <w:bookmarkStart w:id="97" w:name="_Toc463794688"/>
      <w:bookmarkStart w:id="98" w:name="_Toc463794628"/>
      <w:bookmarkStart w:id="99" w:name="_Toc31231"/>
      <w:r>
        <w:rPr>
          <w:rFonts w:hint="eastAsia"/>
        </w:rPr>
        <w:t xml:space="preserve">4.1.1 </w:t>
      </w:r>
      <w:r>
        <w:rPr>
          <w:rFonts w:hint="eastAsia"/>
        </w:rPr>
        <w:t>核放单查询</w:t>
      </w:r>
      <w:bookmarkEnd w:id="97"/>
      <w:bookmarkEnd w:id="98"/>
      <w:bookmarkEnd w:id="99"/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点击“统计查询”-“物流信息”-“核放单查询”，即可进查询页面；页面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显示如下：</w:t>
      </w:r>
    </w:p>
    <w:p w:rsidR="007C3CFF" w:rsidRDefault="001769B4">
      <w:r>
        <w:rPr>
          <w:noProof/>
        </w:rPr>
        <w:drawing>
          <wp:inline distT="0" distB="0" distL="114300" distR="114300">
            <wp:extent cx="5262245" cy="2012950"/>
            <wp:effectExtent l="0" t="0" r="10795" b="13970"/>
            <wp:docPr id="7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（1）查询：输入查询条件，对核放单进行查询操作；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（2）重置：清空查询条件；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（3）导出excel：以excel表格的形式导出选择的数据；</w:t>
      </w:r>
    </w:p>
    <w:p w:rsidR="007C3CFF" w:rsidRDefault="001769B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（4）打印浏览：查看打印浏览页面；</w:t>
      </w:r>
    </w:p>
    <w:p w:rsidR="007C3CFF" w:rsidRDefault="001769B4">
      <w:pPr>
        <w:ind w:firstLineChars="200" w:firstLine="480"/>
      </w:pPr>
      <w:r>
        <w:rPr>
          <w:rFonts w:ascii="宋体" w:eastAsia="宋体" w:hAnsi="宋体" w:cs="宋体" w:hint="eastAsia"/>
          <w:sz w:val="24"/>
          <w:szCs w:val="24"/>
        </w:rPr>
        <w:t>（5）查阅：查看核放单详细信息。</w:t>
      </w:r>
    </w:p>
    <w:p w:rsidR="007C3CFF" w:rsidRDefault="007C3CFF">
      <w:pPr>
        <w:ind w:firstLineChars="200" w:firstLine="420"/>
      </w:pPr>
    </w:p>
    <w:p w:rsidR="007C3CFF" w:rsidRDefault="007C3CFF">
      <w:pPr>
        <w:rPr>
          <w:rFonts w:ascii="宋体" w:eastAsia="宋体" w:hAnsi="宋体" w:cs="宋体"/>
          <w:sz w:val="24"/>
          <w:szCs w:val="24"/>
        </w:rPr>
      </w:pPr>
    </w:p>
    <w:p w:rsidR="007C3CFF" w:rsidRDefault="007C3CFF">
      <w:pPr>
        <w:rPr>
          <w:rFonts w:ascii="宋体" w:eastAsia="宋体" w:hAnsi="宋体" w:cs="宋体"/>
          <w:sz w:val="24"/>
          <w:szCs w:val="24"/>
        </w:rPr>
      </w:pPr>
    </w:p>
    <w:p w:rsidR="007C3CFF" w:rsidRDefault="007C3CFF"/>
    <w:p w:rsidR="007C3CFF" w:rsidRDefault="007C3CFF"/>
    <w:sectPr w:rsidR="007C3CFF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5B" w:rsidRDefault="00EE545B">
      <w:r>
        <w:separator/>
      </w:r>
    </w:p>
  </w:endnote>
  <w:endnote w:type="continuationSeparator" w:id="0">
    <w:p w:rsidR="00EE545B" w:rsidRDefault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301613"/>
    </w:sdtPr>
    <w:sdtEndPr/>
    <w:sdtContent>
      <w:p w:rsidR="007C3CFF" w:rsidRDefault="001769B4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972185" cy="147955"/>
                  <wp:effectExtent l="0" t="0" r="635" b="0"/>
                  <wp:wrapNone/>
                  <wp:docPr id="32" name="文本框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1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3CFF" w:rsidRDefault="001769B4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separate"/>
                              </w:r>
                              <w:r w:rsidR="006C04ED">
                                <w:rPr>
                                  <w:noProof/>
                                  <w:kern w:val="0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页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共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separate"/>
                              </w:r>
                              <w:r w:rsidR="006C04ED">
                                <w:rPr>
                                  <w:noProof/>
                                  <w:kern w:val="0"/>
                                  <w:szCs w:val="21"/>
                                </w:rPr>
                                <w:t>11</w:t>
                              </w:r>
                              <w:r>
                                <w:rPr>
                                  <w:kern w:val="0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2" o:spid="_x0000_s1026" type="#_x0000_t202" style="position:absolute;left:0;text-align:left;margin-left:0;margin-top:0;width:76.55pt;height:11.6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" filled="f" stroked="f">
                  <v:textbox style="mso-fit-shape-to-text:t" inset="0,0,0,0">
                    <w:txbxContent>
                      <w:p w:rsidR="007C3CFF" w:rsidRDefault="001769B4">
                        <w:pPr>
                          <w:pStyle w:val="a3"/>
                          <w:jc w:val="center"/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第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begin"/>
                        </w:r>
                        <w:r>
                          <w:rPr>
                            <w:kern w:val="0"/>
                            <w:szCs w:val="21"/>
                          </w:rPr>
                          <w:instrText xml:space="preserve"> PAGE </w:instrTex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separate"/>
                        </w:r>
                        <w:r w:rsidR="006C04ED">
                          <w:rPr>
                            <w:noProof/>
                            <w:kern w:val="0"/>
                            <w:szCs w:val="21"/>
                          </w:rPr>
                          <w:t>6</w: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页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共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begin"/>
                        </w:r>
                        <w:r>
                          <w:rPr>
                            <w:kern w:val="0"/>
                            <w:szCs w:val="21"/>
                          </w:rPr>
                          <w:instrText xml:space="preserve"> NUMPAGES </w:instrTex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separate"/>
                        </w:r>
                        <w:r w:rsidR="006C04ED">
                          <w:rPr>
                            <w:noProof/>
                            <w:kern w:val="0"/>
                            <w:szCs w:val="21"/>
                          </w:rPr>
                          <w:t>11</w:t>
                        </w:r>
                        <w:r>
                          <w:rPr>
                            <w:kern w:val="0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页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:rsidR="007C3CFF" w:rsidRDefault="00EE545B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5B" w:rsidRDefault="00EE545B">
      <w:r>
        <w:separator/>
      </w:r>
    </w:p>
  </w:footnote>
  <w:footnote w:type="continuationSeparator" w:id="0">
    <w:p w:rsidR="00EE545B" w:rsidRDefault="00EE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FF" w:rsidRDefault="007C3CFF">
    <w:pPr>
      <w:pStyle w:val="a4"/>
      <w:pBdr>
        <w:bottom w:val="none" w:sz="0" w:space="0" w:color="auto"/>
      </w:pBdr>
      <w:adjustRightInd w:val="0"/>
      <w:ind w:firstLineChars="950" w:firstLine="2850"/>
      <w:jc w:val="both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3893"/>
    <w:multiLevelType w:val="multilevel"/>
    <w:tmpl w:val="152B38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A42888"/>
    <w:multiLevelType w:val="multilevel"/>
    <w:tmpl w:val="17A4288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B8008D"/>
    <w:multiLevelType w:val="multilevel"/>
    <w:tmpl w:val="18B800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BC4D47"/>
    <w:multiLevelType w:val="multilevel"/>
    <w:tmpl w:val="22BC4D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1CE58E6"/>
    <w:multiLevelType w:val="multilevel"/>
    <w:tmpl w:val="31CE58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9C15E1"/>
    <w:multiLevelType w:val="multilevel"/>
    <w:tmpl w:val="559C15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BE1488"/>
    <w:multiLevelType w:val="multilevel"/>
    <w:tmpl w:val="59BE148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A30C2F2"/>
    <w:multiLevelType w:val="singleLevel"/>
    <w:tmpl w:val="5A30C2F2"/>
    <w:lvl w:ilvl="0">
      <w:start w:val="1"/>
      <w:numFmt w:val="decimal"/>
      <w:suff w:val="nothing"/>
      <w:lvlText w:val="（%1）"/>
      <w:lvlJc w:val="left"/>
    </w:lvl>
  </w:abstractNum>
  <w:abstractNum w:abstractNumId="8">
    <w:nsid w:val="5CF569C3"/>
    <w:multiLevelType w:val="multilevel"/>
    <w:tmpl w:val="5CF569C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BC53CE"/>
    <w:multiLevelType w:val="multilevel"/>
    <w:tmpl w:val="60BC53C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64845E35"/>
    <w:multiLevelType w:val="multilevel"/>
    <w:tmpl w:val="64845E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6A43E5"/>
    <w:multiLevelType w:val="multilevel"/>
    <w:tmpl w:val="756A43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B50D4E"/>
    <w:multiLevelType w:val="multilevel"/>
    <w:tmpl w:val="7CB50D4E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8"/>
    <w:rsid w:val="00027C08"/>
    <w:rsid w:val="00112DAB"/>
    <w:rsid w:val="001769B4"/>
    <w:rsid w:val="003A219D"/>
    <w:rsid w:val="00485C2D"/>
    <w:rsid w:val="00517B37"/>
    <w:rsid w:val="00565F22"/>
    <w:rsid w:val="00596AF5"/>
    <w:rsid w:val="005A4D1D"/>
    <w:rsid w:val="005A529E"/>
    <w:rsid w:val="006C04ED"/>
    <w:rsid w:val="0073728A"/>
    <w:rsid w:val="007C3CFF"/>
    <w:rsid w:val="009C7F80"/>
    <w:rsid w:val="00B067EC"/>
    <w:rsid w:val="00B47FA7"/>
    <w:rsid w:val="00C06310"/>
    <w:rsid w:val="00C46523"/>
    <w:rsid w:val="00C85C09"/>
    <w:rsid w:val="00D10F9C"/>
    <w:rsid w:val="00D26988"/>
    <w:rsid w:val="00DA0B72"/>
    <w:rsid w:val="00DC5BCB"/>
    <w:rsid w:val="00E626FB"/>
    <w:rsid w:val="00EB2438"/>
    <w:rsid w:val="00EE545B"/>
    <w:rsid w:val="00F33365"/>
    <w:rsid w:val="01196CDB"/>
    <w:rsid w:val="0A276B0B"/>
    <w:rsid w:val="11F66BAD"/>
    <w:rsid w:val="18D444B9"/>
    <w:rsid w:val="1EB427AC"/>
    <w:rsid w:val="1F481CD8"/>
    <w:rsid w:val="22646A1B"/>
    <w:rsid w:val="240D50DB"/>
    <w:rsid w:val="25681B2C"/>
    <w:rsid w:val="2BFA40BD"/>
    <w:rsid w:val="2E386B51"/>
    <w:rsid w:val="2E9F677F"/>
    <w:rsid w:val="2F6A0739"/>
    <w:rsid w:val="31D4252F"/>
    <w:rsid w:val="36591D0A"/>
    <w:rsid w:val="379A4ABC"/>
    <w:rsid w:val="3C4E395D"/>
    <w:rsid w:val="3DC43751"/>
    <w:rsid w:val="42C228AC"/>
    <w:rsid w:val="4BBE673F"/>
    <w:rsid w:val="4DCA07B5"/>
    <w:rsid w:val="4F3C789D"/>
    <w:rsid w:val="4F523193"/>
    <w:rsid w:val="538D49CC"/>
    <w:rsid w:val="54A50F63"/>
    <w:rsid w:val="555F0F61"/>
    <w:rsid w:val="59A44942"/>
    <w:rsid w:val="5B351F05"/>
    <w:rsid w:val="5C25447A"/>
    <w:rsid w:val="5CA95C64"/>
    <w:rsid w:val="67D85393"/>
    <w:rsid w:val="68A92AFA"/>
    <w:rsid w:val="6977399E"/>
    <w:rsid w:val="71EE3B4E"/>
    <w:rsid w:val="72F64C89"/>
    <w:rsid w:val="73966D65"/>
    <w:rsid w:val="74F34392"/>
    <w:rsid w:val="79601813"/>
    <w:rsid w:val="7C3F748B"/>
    <w:rsid w:val="7D49320F"/>
    <w:rsid w:val="7EFE13F8"/>
    <w:rsid w:val="7FA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972F70-C657-4F54-BE42-6A714EA4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ascii="Times New Roman" w:eastAsia="黑体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Char1">
    <w:name w:val="正文（不缩进） Char"/>
    <w:basedOn w:val="a0"/>
    <w:link w:val="a6"/>
    <w:qFormat/>
    <w:rPr>
      <w:rFonts w:ascii="宋体" w:hAnsi="宋体"/>
      <w:szCs w:val="21"/>
    </w:rPr>
  </w:style>
  <w:style w:type="paragraph" w:customStyle="1" w:styleId="a6">
    <w:name w:val="正文（不缩进）"/>
    <w:basedOn w:val="a"/>
    <w:link w:val="Char1"/>
    <w:pPr>
      <w:widowControl/>
      <w:adjustRightInd w:val="0"/>
      <w:jc w:val="left"/>
    </w:pPr>
    <w:rPr>
      <w:rFonts w:ascii="宋体" w:hAnsi="宋体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EF4DF-DDBB-4985-AF93-BB15C22D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tangtian</dc:creator>
  <cp:lastModifiedBy>van</cp:lastModifiedBy>
  <cp:revision>24</cp:revision>
  <dcterms:created xsi:type="dcterms:W3CDTF">2016-10-09T06:36:00Z</dcterms:created>
  <dcterms:modified xsi:type="dcterms:W3CDTF">2017-12-14T09:36:00Z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